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1320" w:firstLineChars="300"/>
        <w:rPr>
          <w:rFonts w:hint="eastAsia" w:ascii="华文中宋" w:hAnsi="华文中宋" w:eastAsia="华文中宋"/>
          <w:b/>
          <w:sz w:val="44"/>
          <w:szCs w:val="44"/>
        </w:rPr>
      </w:pPr>
    </w:p>
    <w:p>
      <w:pPr>
        <w:ind w:firstLine="1320" w:firstLineChars="300"/>
        <w:rPr>
          <w:rFonts w:hint="eastAsia" w:ascii="华文中宋" w:hAnsi="华文中宋" w:eastAsia="华文中宋"/>
          <w:b/>
          <w:sz w:val="44"/>
          <w:szCs w:val="44"/>
        </w:rPr>
      </w:pPr>
    </w:p>
    <w:p>
      <w:pPr>
        <w:rPr>
          <w:rFonts w:hint="eastAsia" w:ascii="华文中宋" w:hAnsi="华文中宋" w:eastAsia="华文中宋"/>
          <w:b/>
          <w:sz w:val="44"/>
          <w:szCs w:val="44"/>
          <w:lang w:eastAsia="zh-CN"/>
        </w:rPr>
      </w:pPr>
    </w:p>
    <w:p>
      <w:pPr>
        <w:jc w:val="center"/>
        <w:rPr>
          <w:rFonts w:ascii="华文中宋" w:hAnsi="华文中宋" w:eastAsia="华文中宋"/>
          <w:b/>
          <w:sz w:val="44"/>
          <w:szCs w:val="44"/>
        </w:rPr>
      </w:pPr>
      <w:r>
        <w:rPr>
          <w:rFonts w:hint="eastAsia" w:ascii="华文中宋" w:hAnsi="华文中宋" w:eastAsia="华文中宋"/>
          <w:b/>
          <w:sz w:val="44"/>
          <w:szCs w:val="44"/>
        </w:rPr>
        <w:t>市（省直管县、市）</w:t>
      </w:r>
      <w:r>
        <w:rPr>
          <w:rFonts w:hint="eastAsia" w:ascii="华文中宋" w:hAnsi="华文中宋" w:eastAsia="华文中宋"/>
          <w:b/>
          <w:sz w:val="44"/>
          <w:szCs w:val="44"/>
          <w:lang w:eastAsia="zh-CN"/>
        </w:rPr>
        <w:t>住房城乡建设主管部门省级工法申报系统</w:t>
      </w:r>
      <w:r>
        <w:rPr>
          <w:rFonts w:hint="eastAsia" w:ascii="华文中宋" w:hAnsi="华文中宋" w:eastAsia="华文中宋"/>
          <w:b/>
          <w:sz w:val="44"/>
          <w:szCs w:val="44"/>
        </w:rPr>
        <w:t>操作手册</w:t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pPr>
        <w:jc w:val="center"/>
        <w:rPr>
          <w:rFonts w:ascii="楷体_GB2312" w:eastAsia="楷体_GB2312"/>
          <w:b/>
          <w:bCs/>
          <w:kern w:val="0"/>
          <w:sz w:val="32"/>
          <w:szCs w:val="32"/>
        </w:rPr>
      </w:pPr>
      <w:r>
        <w:rPr>
          <w:rFonts w:hint="eastAsia" w:ascii="楷体_GB2312" w:eastAsia="楷体_GB2312"/>
          <w:b/>
          <w:bCs/>
          <w:kern w:val="0"/>
          <w:sz w:val="32"/>
          <w:szCs w:val="32"/>
        </w:rPr>
        <w:t>安徽省住房和城乡建设厅</w:t>
      </w:r>
    </w:p>
    <w:p>
      <w:pPr>
        <w:jc w:val="center"/>
        <w:rPr>
          <w:rFonts w:hint="default" w:ascii="楷体_GB2312" w:hAnsi="宋体" w:eastAsia="楷体_GB2312"/>
          <w:b/>
          <w:bCs/>
          <w:kern w:val="0"/>
          <w:sz w:val="32"/>
          <w:szCs w:val="32"/>
          <w:lang w:val="en-US" w:eastAsia="zh-CN"/>
        </w:rPr>
      </w:pPr>
      <w:r>
        <w:rPr>
          <w:rFonts w:hint="eastAsia" w:ascii="楷体_GB2312" w:hAnsi="宋体" w:eastAsia="楷体_GB2312"/>
          <w:b/>
          <w:bCs/>
          <w:kern w:val="0"/>
          <w:sz w:val="32"/>
          <w:szCs w:val="32"/>
        </w:rPr>
        <w:t>20</w:t>
      </w:r>
      <w:r>
        <w:rPr>
          <w:rFonts w:ascii="楷体_GB2312" w:hAnsi="宋体" w:eastAsia="楷体_GB2312"/>
          <w:b/>
          <w:bCs/>
          <w:kern w:val="0"/>
          <w:sz w:val="32"/>
          <w:szCs w:val="32"/>
        </w:rPr>
        <w:t>2</w:t>
      </w:r>
      <w:r>
        <w:rPr>
          <w:rFonts w:hint="eastAsia" w:ascii="楷体_GB2312" w:hAnsi="宋体" w:eastAsia="楷体_GB2312"/>
          <w:b/>
          <w:bCs/>
          <w:kern w:val="0"/>
          <w:sz w:val="32"/>
          <w:szCs w:val="32"/>
          <w:lang w:val="en-US" w:eastAsia="zh-CN"/>
        </w:rPr>
        <w:t>5</w:t>
      </w:r>
      <w:r>
        <w:rPr>
          <w:rFonts w:hint="eastAsia" w:ascii="楷体_GB2312" w:hAnsi="宋体" w:eastAsia="楷体_GB2312"/>
          <w:b/>
          <w:bCs/>
          <w:kern w:val="0"/>
          <w:sz w:val="32"/>
          <w:szCs w:val="32"/>
        </w:rPr>
        <w:t>.</w:t>
      </w:r>
      <w:r>
        <w:rPr>
          <w:rFonts w:hint="eastAsia" w:ascii="楷体_GB2312" w:hAnsi="宋体" w:eastAsia="楷体_GB2312"/>
          <w:b/>
          <w:bCs/>
          <w:kern w:val="0"/>
          <w:sz w:val="32"/>
          <w:szCs w:val="32"/>
          <w:lang w:val="en-US" w:eastAsia="zh-CN"/>
        </w:rPr>
        <w:t>10</w:t>
      </w:r>
    </w:p>
    <w:sdt>
      <w:sdtPr>
        <w:rPr>
          <w:rFonts w:ascii="Calibri" w:hAnsi="Calibri" w:eastAsia="宋体" w:cs="Times New Roman"/>
          <w:color w:val="auto"/>
          <w:kern w:val="2"/>
          <w:sz w:val="21"/>
          <w:szCs w:val="24"/>
          <w:lang w:val="zh-CN"/>
        </w:rPr>
        <w:id w:val="-1940584906"/>
        <w:docPartObj>
          <w:docPartGallery w:val="Table of Contents"/>
          <w:docPartUnique/>
        </w:docPartObj>
      </w:sdtPr>
      <w:sdtEndPr>
        <w:rPr>
          <w:rFonts w:ascii="Calibri" w:hAnsi="Calibri" w:eastAsia="宋体" w:cs="Times New Roman"/>
          <w:b/>
          <w:bCs/>
          <w:color w:val="auto"/>
          <w:kern w:val="2"/>
          <w:sz w:val="21"/>
          <w:szCs w:val="24"/>
          <w:lang w:val="zh-CN"/>
        </w:rPr>
      </w:sdtEndPr>
      <w:sdtContent>
        <w:p>
          <w:pPr>
            <w:pStyle w:val="9"/>
            <w:rPr>
              <w:rFonts w:ascii="Calibri" w:hAnsi="Calibri" w:eastAsia="宋体" w:cs="Times New Roman"/>
              <w:color w:val="auto"/>
              <w:kern w:val="2"/>
              <w:sz w:val="21"/>
              <w:szCs w:val="24"/>
              <w:lang w:val="zh-CN"/>
            </w:rPr>
          </w:pPr>
        </w:p>
        <w:p>
          <w:pPr>
            <w:pStyle w:val="9"/>
            <w:rPr>
              <w:rFonts w:ascii="Calibri" w:hAnsi="Calibri" w:eastAsia="宋体" w:cs="Times New Roman"/>
              <w:color w:val="auto"/>
              <w:kern w:val="2"/>
              <w:sz w:val="21"/>
              <w:szCs w:val="24"/>
              <w:lang w:val="zh-CN"/>
            </w:rPr>
          </w:pPr>
        </w:p>
        <w:p>
          <w:pPr>
            <w:pStyle w:val="9"/>
            <w:rPr>
              <w:rFonts w:ascii="Calibri" w:hAnsi="Calibri" w:eastAsia="宋体" w:cs="Times New Roman"/>
              <w:color w:val="auto"/>
              <w:kern w:val="2"/>
              <w:sz w:val="21"/>
              <w:szCs w:val="24"/>
              <w:lang w:val="zh-CN"/>
            </w:rPr>
          </w:pPr>
        </w:p>
        <w:p>
          <w:pPr>
            <w:pStyle w:val="9"/>
            <w:rPr>
              <w:rFonts w:ascii="Calibri" w:hAnsi="Calibri" w:eastAsia="宋体" w:cs="Times New Roman"/>
              <w:color w:val="auto"/>
              <w:kern w:val="2"/>
              <w:sz w:val="21"/>
              <w:szCs w:val="24"/>
              <w:lang w:val="zh-CN"/>
            </w:rPr>
          </w:pPr>
        </w:p>
        <w:p>
          <w:pPr>
            <w:pStyle w:val="9"/>
            <w:rPr>
              <w:rFonts w:ascii="Calibri" w:hAnsi="Calibri" w:eastAsia="宋体" w:cs="Times New Roman"/>
              <w:color w:val="auto"/>
              <w:kern w:val="2"/>
              <w:sz w:val="21"/>
              <w:szCs w:val="24"/>
              <w:lang w:val="zh-CN"/>
            </w:rPr>
          </w:pPr>
        </w:p>
        <w:p>
          <w:pPr>
            <w:pStyle w:val="9"/>
            <w:rPr>
              <w:rFonts w:ascii="Calibri" w:hAnsi="Calibri" w:eastAsia="宋体" w:cs="Times New Roman"/>
              <w:color w:val="auto"/>
              <w:kern w:val="2"/>
              <w:sz w:val="21"/>
              <w:szCs w:val="24"/>
              <w:lang w:val="zh-CN"/>
            </w:rPr>
          </w:pPr>
        </w:p>
        <w:p>
          <w:pPr>
            <w:pStyle w:val="9"/>
          </w:pPr>
          <w:r>
            <w:rPr>
              <w:lang w:val="zh-CN"/>
            </w:rPr>
            <w:t>目录</w:t>
          </w:r>
        </w:p>
        <w:p>
          <w:pPr>
            <w:pStyle w:val="4"/>
            <w:tabs>
              <w:tab w:val="right" w:leader="dot" w:pos="8306"/>
            </w:tabs>
          </w:pPr>
          <w:r>
            <w:fldChar w:fldCharType="begin"/>
          </w:r>
          <w:r>
            <w:instrText xml:space="preserve"> TOC \o "1-2"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_Toc28470 </w:instrText>
          </w:r>
          <w:r>
            <w:fldChar w:fldCharType="separate"/>
          </w:r>
          <w:r>
            <w:rPr>
              <w:szCs w:val="32"/>
            </w:rPr>
            <w:t xml:space="preserve">一、 </w:t>
          </w:r>
          <w:r>
            <w:rPr>
              <w:rFonts w:hint="eastAsia"/>
              <w:szCs w:val="32"/>
            </w:rPr>
            <w:t>审核系统入口</w:t>
          </w:r>
          <w:r>
            <w:tab/>
          </w:r>
          <w:r>
            <w:fldChar w:fldCharType="begin"/>
          </w:r>
          <w:r>
            <w:instrText xml:space="preserve"> PAGEREF _Toc28470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_Toc23759 </w:instrText>
          </w:r>
          <w:r>
            <w:fldChar w:fldCharType="separate"/>
          </w:r>
          <w:r>
            <w:rPr>
              <w:szCs w:val="32"/>
            </w:rPr>
            <w:t xml:space="preserve">二、 </w:t>
          </w:r>
          <w:r>
            <w:rPr>
              <w:rFonts w:hint="eastAsia"/>
              <w:szCs w:val="32"/>
            </w:rPr>
            <w:t>地市审核</w:t>
          </w:r>
          <w:r>
            <w:tab/>
          </w:r>
          <w:r>
            <w:fldChar w:fldCharType="begin"/>
          </w:r>
          <w:r>
            <w:instrText xml:space="preserve"> PAGEREF _Toc23759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_Toc4660 </w:instrText>
          </w:r>
          <w:r>
            <w:fldChar w:fldCharType="separate"/>
          </w:r>
          <w:r>
            <w:rPr>
              <w:rFonts w:hint="eastAsia"/>
              <w:szCs w:val="28"/>
            </w:rPr>
            <w:t>1. 地市初审人员</w:t>
          </w:r>
          <w:r>
            <w:tab/>
          </w:r>
          <w:r>
            <w:fldChar w:fldCharType="begin"/>
          </w:r>
          <w:r>
            <w:instrText xml:space="preserve"> PAGEREF _Toc4660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5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_Toc32233 </w:instrText>
          </w:r>
          <w:r>
            <w:fldChar w:fldCharType="separate"/>
          </w:r>
          <w:r>
            <w:rPr>
              <w:rFonts w:hint="eastAsia"/>
              <w:szCs w:val="28"/>
            </w:rPr>
            <w:t>2. 地市审核人员</w:t>
          </w:r>
          <w:r>
            <w:tab/>
          </w:r>
          <w:r>
            <w:fldChar w:fldCharType="begin"/>
          </w:r>
          <w:r>
            <w:instrText xml:space="preserve"> PAGEREF _Toc32233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r>
            <w:fldChar w:fldCharType="end"/>
          </w:r>
        </w:p>
      </w:sdtContent>
    </w:sdt>
    <w:p>
      <w:pPr>
        <w:widowControl/>
        <w:jc w:val="left"/>
        <w:rPr>
          <w:rFonts w:ascii="楷体_GB2312" w:hAnsi="宋体" w:eastAsia="楷体_GB2312"/>
          <w:b/>
          <w:bCs/>
          <w:kern w:val="0"/>
          <w:sz w:val="32"/>
          <w:szCs w:val="32"/>
        </w:rPr>
      </w:pPr>
      <w:r>
        <w:rPr>
          <w:rFonts w:ascii="楷体_GB2312" w:hAnsi="宋体" w:eastAsia="楷体_GB2312"/>
          <w:b/>
          <w:bCs/>
          <w:kern w:val="0"/>
          <w:sz w:val="32"/>
          <w:szCs w:val="32"/>
        </w:rPr>
        <w:br w:type="page"/>
      </w:r>
    </w:p>
    <w:p>
      <w:pPr>
        <w:jc w:val="center"/>
        <w:rPr>
          <w:rFonts w:ascii="楷体_GB2312" w:hAnsi="宋体" w:eastAsia="楷体_GB2312"/>
          <w:b/>
          <w:bCs/>
          <w:kern w:val="0"/>
          <w:sz w:val="32"/>
          <w:szCs w:val="32"/>
        </w:rPr>
      </w:pPr>
    </w:p>
    <w:p>
      <w:pPr>
        <w:pStyle w:val="2"/>
        <w:numPr>
          <w:ilvl w:val="0"/>
          <w:numId w:val="1"/>
        </w:numPr>
        <w:spacing w:before="200" w:after="200" w:line="360" w:lineRule="auto"/>
        <w:rPr>
          <w:sz w:val="32"/>
          <w:szCs w:val="32"/>
        </w:rPr>
      </w:pPr>
      <w:bookmarkStart w:id="0" w:name="_Toc11433"/>
      <w:bookmarkStart w:id="1" w:name="_Toc28470"/>
      <w:r>
        <w:rPr>
          <w:rFonts w:hint="eastAsia"/>
          <w:sz w:val="32"/>
          <w:szCs w:val="32"/>
        </w:rPr>
        <w:t>审核系统入口</w:t>
      </w:r>
      <w:bookmarkEnd w:id="0"/>
      <w:bookmarkEnd w:id="1"/>
    </w:p>
    <w:p>
      <w:pPr>
        <w:widowControl/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地市相关审核人员在浏览器地址栏输入如下网址：http://39.145.4.40:8099/hsbgl</w:t>
      </w:r>
    </w:p>
    <w:p>
      <w:pPr>
        <w:widowControl/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进入安徽城乡规划建设综合管理平台，相关人员输入账号和密码登录系统，登录系统如下所示：</w:t>
      </w:r>
    </w:p>
    <w:p>
      <w:pPr>
        <w:widowControl/>
        <w:jc w:val="left"/>
        <w:rPr>
          <w:sz w:val="28"/>
          <w:szCs w:val="28"/>
        </w:rPr>
      </w:pPr>
      <w:r>
        <w:drawing>
          <wp:inline distT="0" distB="0" distL="114300" distR="114300">
            <wp:extent cx="5273675" cy="2855595"/>
            <wp:effectExtent l="0" t="0" r="14605" b="9525"/>
            <wp:docPr id="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true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85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570" w:firstLineChars="1700"/>
      </w:pPr>
      <w:r>
        <w:rPr>
          <w:rFonts w:hint="eastAsia"/>
        </w:rPr>
        <w:t>图1</w:t>
      </w:r>
      <w:r>
        <w:t>.1</w:t>
      </w:r>
    </w:p>
    <w:p>
      <w:pPr>
        <w:ind w:firstLine="3570" w:firstLineChars="1700"/>
      </w:pPr>
    </w:p>
    <w:p>
      <w:pPr>
        <w:widowControl/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widowControl/>
        <w:ind w:firstLine="560" w:firstLineChars="20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2.</w:t>
      </w:r>
      <w:r>
        <w:rPr>
          <w:rFonts w:hint="eastAsia" w:ascii="宋体" w:hAnsi="宋体" w:eastAsia="宋体" w:cs="宋体"/>
          <w:sz w:val="28"/>
          <w:szCs w:val="28"/>
        </w:rPr>
        <w:t>地市相关审核人员在浏览器地址栏输入如下网址：http://dohurd.ah.gov.cn/</w:t>
      </w:r>
      <w:r>
        <w:rPr>
          <w:rFonts w:hint="eastAsia" w:ascii="宋体" w:hAnsi="宋体" w:cs="宋体"/>
          <w:sz w:val="28"/>
          <w:szCs w:val="28"/>
          <w:lang w:eastAsia="zh-CN"/>
        </w:rPr>
        <w:t>，</w:t>
      </w:r>
      <w:r>
        <w:rPr>
          <w:rFonts w:hint="eastAsia" w:ascii="宋体" w:hAnsi="宋体" w:cs="宋体"/>
          <w:sz w:val="28"/>
          <w:szCs w:val="28"/>
          <w:lang w:val="en-US" w:eastAsia="zh-CN"/>
        </w:rPr>
        <w:t>进入安徽省住房和城乡建设厅官网，点击</w:t>
      </w:r>
      <w:r>
        <w:drawing>
          <wp:inline distT="0" distB="0" distL="114300" distR="114300">
            <wp:extent cx="815340" cy="247015"/>
            <wp:effectExtent l="0" t="0" r="7620" b="12065"/>
            <wp:docPr id="6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true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15340" cy="247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>，</w:t>
      </w:r>
      <w:r>
        <w:rPr>
          <w:rFonts w:hint="eastAsia" w:ascii="宋体" w:hAnsi="宋体" w:eastAsia="宋体" w:cs="宋体"/>
          <w:sz w:val="28"/>
          <w:szCs w:val="28"/>
        </w:rPr>
        <w:t>进入安徽城乡规划建设综合管理平台，相关人员输入账号和密码登录系统，登录系统如下所示：</w:t>
      </w:r>
    </w:p>
    <w:p>
      <w:pPr>
        <w:widowControl/>
        <w:ind w:firstLine="420" w:firstLineChars="200"/>
        <w:jc w:val="left"/>
        <w:rPr>
          <w:rFonts w:hint="eastAsia"/>
          <w:lang w:eastAsia="zh-CN"/>
        </w:rPr>
      </w:pP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5025390" cy="2499360"/>
            <wp:effectExtent l="0" t="0" r="3810" b="0"/>
            <wp:docPr id="18" name="图片 18" descr="微信图片_2022092611081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微信图片_20220926110814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25390" cy="249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</w:p>
    <w:p>
      <w:pPr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drawing>
          <wp:inline distT="0" distB="0" distL="114300" distR="114300">
            <wp:extent cx="4990465" cy="2702560"/>
            <wp:effectExtent l="0" t="0" r="8255" b="10160"/>
            <wp:docPr id="20" name="图片 20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true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90465" cy="270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"/>
        </w:numPr>
        <w:spacing w:before="200" w:after="200" w:line="360" w:lineRule="auto"/>
        <w:rPr>
          <w:sz w:val="32"/>
          <w:szCs w:val="32"/>
        </w:rPr>
      </w:pPr>
      <w:bookmarkStart w:id="2" w:name="_Toc23759"/>
      <w:r>
        <w:rPr>
          <w:rFonts w:hint="eastAsia"/>
          <w:sz w:val="32"/>
          <w:szCs w:val="32"/>
        </w:rPr>
        <w:t>地市审核</w:t>
      </w:r>
      <w:bookmarkEnd w:id="2"/>
    </w:p>
    <w:p>
      <w:pPr>
        <w:pStyle w:val="10"/>
        <w:numPr>
          <w:ilvl w:val="0"/>
          <w:numId w:val="2"/>
        </w:numPr>
        <w:spacing w:line="360" w:lineRule="auto"/>
        <w:ind w:firstLineChars="0"/>
        <w:jc w:val="left"/>
        <w:outlineLvl w:val="1"/>
        <w:rPr>
          <w:sz w:val="28"/>
          <w:szCs w:val="28"/>
        </w:rPr>
      </w:pPr>
      <w:bookmarkStart w:id="3" w:name="_Toc4660"/>
      <w:r>
        <w:rPr>
          <w:rFonts w:hint="eastAsia"/>
          <w:sz w:val="28"/>
          <w:szCs w:val="28"/>
        </w:rPr>
        <w:t>地市初审人员</w:t>
      </w:r>
      <w:bookmarkEnd w:id="3"/>
    </w:p>
    <w:p>
      <w:pPr>
        <w:widowControl/>
        <w:ind w:firstLine="560" w:firstLineChars="20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初审人员登录到上面的系统，进入工法项目初审页面，进入“</w:t>
      </w:r>
      <w:r>
        <w:rPr>
          <w:rFonts w:hint="eastAsia"/>
          <w:sz w:val="28"/>
          <w:szCs w:val="28"/>
        </w:rPr>
        <w:drawing>
          <wp:inline distT="0" distB="0" distL="114300" distR="114300">
            <wp:extent cx="946150" cy="228600"/>
            <wp:effectExtent l="0" t="0" r="6350" b="0"/>
            <wp:docPr id="3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true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461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”模块，点击“</w:t>
      </w:r>
      <w:r>
        <w:rPr>
          <w:rFonts w:hint="eastAsia"/>
          <w:sz w:val="28"/>
          <w:szCs w:val="28"/>
        </w:rPr>
        <w:drawing>
          <wp:inline distT="0" distB="0" distL="114300" distR="114300">
            <wp:extent cx="457200" cy="196850"/>
            <wp:effectExtent l="0" t="0" r="0" b="6350"/>
            <wp:docPr id="4" name="图片 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true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19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”，进入办件审核页面，点击“</w:t>
      </w:r>
      <w:r>
        <w:rPr>
          <w:rFonts w:hint="eastAsia"/>
          <w:sz w:val="28"/>
          <w:szCs w:val="28"/>
        </w:rPr>
        <w:drawing>
          <wp:inline distT="0" distB="0" distL="0" distR="0">
            <wp:extent cx="294640" cy="180340"/>
            <wp:effectExtent l="0" t="0" r="10160" b="10160"/>
            <wp:docPr id="10" name="图片 10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true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38" cy="1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”按钮对办件进行审核操作，进入审核页面查看企业申报信息，然后选择“</w:t>
      </w:r>
      <w:r>
        <w:rPr>
          <w:rFonts w:hint="eastAsia"/>
          <w:sz w:val="28"/>
          <w:szCs w:val="28"/>
        </w:rPr>
        <w:drawing>
          <wp:inline distT="0" distB="0" distL="0" distR="0">
            <wp:extent cx="713740" cy="237490"/>
            <wp:effectExtent l="0" t="0" r="10160" b="3810"/>
            <wp:docPr id="12" name="图片 1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true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4286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”或“</w:t>
      </w:r>
      <w:r>
        <w:rPr>
          <w:rFonts w:hint="eastAsia"/>
          <w:sz w:val="28"/>
          <w:szCs w:val="28"/>
        </w:rPr>
        <w:drawing>
          <wp:inline distT="0" distB="0" distL="114300" distR="114300">
            <wp:extent cx="393700" cy="190500"/>
            <wp:effectExtent l="0" t="0" r="0" b="0"/>
            <wp:docPr id="5" name="图片 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true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”的相关操作。</w:t>
      </w:r>
    </w:p>
    <w:p>
      <w:pPr>
        <w:jc w:val="left"/>
      </w:pPr>
      <w:r>
        <w:drawing>
          <wp:inline distT="0" distB="0" distL="114300" distR="114300">
            <wp:extent cx="5266690" cy="2422525"/>
            <wp:effectExtent l="0" t="0" r="3810" b="3175"/>
            <wp:docPr id="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true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2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jc w:val="center"/>
      </w:pPr>
      <w:r>
        <w:rPr>
          <w:rFonts w:hint="eastAsia"/>
        </w:rPr>
        <w:t>图2</w:t>
      </w:r>
      <w:r>
        <w:t>.1</w: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9865" cy="2443480"/>
            <wp:effectExtent l="0" t="0" r="3175" b="10160"/>
            <wp:docPr id="14" name="图片 14" descr="个人信息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个人信息"/>
                    <pic:cNvPicPr>
                      <a:picLocks noChangeAspect="true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44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20"/>
        <w:jc w:val="center"/>
      </w:pPr>
      <w:r>
        <w:rPr>
          <w:rFonts w:hint="eastAsia"/>
        </w:rPr>
        <w:t>图2</w:t>
      </w:r>
      <w:r>
        <w:t>.2</w:t>
      </w:r>
    </w:p>
    <w:p>
      <w:pPr>
        <w:pStyle w:val="10"/>
        <w:numPr>
          <w:ilvl w:val="0"/>
          <w:numId w:val="2"/>
        </w:numPr>
        <w:spacing w:line="360" w:lineRule="auto"/>
        <w:ind w:firstLineChars="0"/>
        <w:jc w:val="left"/>
        <w:outlineLvl w:val="1"/>
        <w:rPr>
          <w:sz w:val="28"/>
          <w:szCs w:val="28"/>
        </w:rPr>
      </w:pPr>
      <w:bookmarkStart w:id="4" w:name="_Toc32233"/>
      <w:r>
        <w:rPr>
          <w:rFonts w:hint="eastAsia"/>
          <w:sz w:val="28"/>
          <w:szCs w:val="28"/>
        </w:rPr>
        <w:t>地市审核人员</w:t>
      </w:r>
      <w:bookmarkEnd w:id="4"/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‘地市审核人员’根据 ‘地市初审人员’审核通过的办件进行二次审核，并统一按地市汇总上报。</w:t>
      </w:r>
    </w:p>
    <w:p>
      <w:r>
        <w:drawing>
          <wp:inline distT="0" distB="0" distL="114300" distR="114300">
            <wp:extent cx="5266690" cy="2427605"/>
            <wp:effectExtent l="0" t="0" r="3810" b="10795"/>
            <wp:docPr id="9" name="图片 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true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27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图2.3</w: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9865" cy="2443480"/>
            <wp:effectExtent l="0" t="0" r="3175" b="10160"/>
            <wp:docPr id="19" name="图片 19" descr="个人信息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个人信息"/>
                    <pic:cNvPicPr>
                      <a:picLocks noChangeAspect="true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44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图2.4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‘地市审核人员’登录系统，进入“</w:t>
      </w:r>
      <w:r>
        <w:rPr>
          <w:rFonts w:hint="eastAsia"/>
          <w:sz w:val="28"/>
          <w:szCs w:val="28"/>
        </w:rPr>
        <w:drawing>
          <wp:inline distT="0" distB="0" distL="114300" distR="114300">
            <wp:extent cx="914400" cy="234950"/>
            <wp:effectExtent l="0" t="0" r="0" b="6350"/>
            <wp:docPr id="13" name="图片 9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true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23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”模块，在 “待审核”页面对未审核的办件点击“</w:t>
      </w:r>
      <w:r>
        <w:rPr>
          <w:rFonts w:hint="eastAsia"/>
          <w:sz w:val="28"/>
          <w:szCs w:val="28"/>
        </w:rPr>
        <w:drawing>
          <wp:inline distT="0" distB="0" distL="0" distR="0">
            <wp:extent cx="313690" cy="247015"/>
            <wp:effectExtent l="0" t="0" r="3810" b="6985"/>
            <wp:docPr id="15" name="图片 1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true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286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”进行审核操作，查看企业申报信息，点击“</w:t>
      </w:r>
      <w:r>
        <w:rPr>
          <w:rFonts w:hint="eastAsia"/>
          <w:sz w:val="28"/>
          <w:szCs w:val="28"/>
        </w:rPr>
        <w:drawing>
          <wp:inline distT="0" distB="0" distL="114300" distR="114300">
            <wp:extent cx="590550" cy="203200"/>
            <wp:effectExtent l="0" t="0" r="6350" b="0"/>
            <wp:docPr id="17" name="图片 1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2"/>
                    <pic:cNvPicPr>
                      <a:picLocks noChangeAspect="true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550" cy="20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”和“</w:t>
      </w:r>
      <w:r>
        <w:rPr>
          <w:rFonts w:hint="eastAsia"/>
          <w:sz w:val="28"/>
          <w:szCs w:val="28"/>
        </w:rPr>
        <w:drawing>
          <wp:inline distT="0" distB="0" distL="114300" distR="114300">
            <wp:extent cx="393700" cy="184150"/>
            <wp:effectExtent l="0" t="0" r="0" b="6350"/>
            <wp:docPr id="16" name="图片 1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1"/>
                    <pic:cNvPicPr>
                      <a:picLocks noChangeAspect="true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18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”按钮进行审核操作。在“已审核”页面查看已经审核的办件信息。在汇总上报页面进行汇总上报，点击“</w:t>
      </w:r>
      <w:r>
        <w:rPr>
          <w:rFonts w:hint="eastAsia"/>
          <w:sz w:val="28"/>
          <w:szCs w:val="28"/>
        </w:rPr>
        <w:drawing>
          <wp:inline distT="0" distB="0" distL="0" distR="0">
            <wp:extent cx="885190" cy="247015"/>
            <wp:effectExtent l="0" t="0" r="3810" b="6985"/>
            <wp:docPr id="21" name="图片 2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true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5714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”按钮下载汇总表模板，汇总表格式如下：</w:t>
      </w:r>
    </w:p>
    <w:p/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0340" cy="2722880"/>
            <wp:effectExtent l="0" t="0" r="16510" b="1270"/>
            <wp:docPr id="8" name="图片 8" descr="汇总表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汇总表"/>
                    <pic:cNvPicPr>
                      <a:picLocks noChangeAspect="true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722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5" w:name="_GoBack"/>
      <w:bookmarkEnd w:id="5"/>
    </w:p>
    <w:p>
      <w:pPr>
        <w:jc w:val="center"/>
      </w:pPr>
      <w:r>
        <w:rPr>
          <w:rFonts w:hint="eastAsia"/>
        </w:rPr>
        <w:t>图2</w:t>
      </w:r>
      <w:r>
        <w:t>.</w:t>
      </w:r>
      <w:r>
        <w:rPr>
          <w:rFonts w:hint="eastAsia"/>
        </w:rPr>
        <w:t>5</w:t>
      </w:r>
    </w:p>
    <w:p>
      <w:pPr>
        <w:widowControl/>
        <w:ind w:firstLine="560" w:firstLineChars="20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填写对应的汇总上报表信息盖章后保存。选择汇总上报办件，点击“</w:t>
      </w:r>
      <w:r>
        <w:rPr>
          <w:rFonts w:hint="eastAsia"/>
          <w:sz w:val="28"/>
          <w:szCs w:val="28"/>
        </w:rPr>
        <w:drawing>
          <wp:inline distT="0" distB="0" distL="0" distR="0">
            <wp:extent cx="723265" cy="218440"/>
            <wp:effectExtent l="0" t="0" r="635" b="10160"/>
            <wp:docPr id="23" name="图片 2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true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3810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”将已经审核通过的办件进行统一汇总上报。在汇总上报页面上传已盖章的电子版</w:t>
      </w:r>
      <w:r>
        <w:rPr>
          <w:rFonts w:hint="eastAsia"/>
          <w:sz w:val="28"/>
          <w:szCs w:val="28"/>
          <w:lang w:eastAsia="zh-CN"/>
        </w:rPr>
        <w:t>“推荐函”及</w:t>
      </w:r>
      <w:r>
        <w:rPr>
          <w:rFonts w:hint="eastAsia"/>
          <w:sz w:val="28"/>
          <w:szCs w:val="28"/>
        </w:rPr>
        <w:t>“汇总表”</w:t>
      </w:r>
      <w:r>
        <w:rPr>
          <w:rFonts w:hint="eastAsia"/>
          <w:sz w:val="28"/>
          <w:szCs w:val="28"/>
          <w:lang w:val="en-US" w:eastAsia="zh-CN"/>
        </w:rPr>
        <w:t>，</w:t>
      </w:r>
      <w:r>
        <w:rPr>
          <w:rFonts w:hint="eastAsia"/>
          <w:sz w:val="28"/>
          <w:szCs w:val="28"/>
        </w:rPr>
        <w:t>上传相应的汇总信息后，点击“</w:t>
      </w:r>
      <w:r>
        <w:rPr>
          <w:rFonts w:hint="eastAsia"/>
          <w:sz w:val="28"/>
          <w:szCs w:val="28"/>
        </w:rPr>
        <w:drawing>
          <wp:inline distT="0" distB="0" distL="0" distR="0">
            <wp:extent cx="466090" cy="161290"/>
            <wp:effectExtent l="0" t="0" r="3810" b="3810"/>
            <wp:docPr id="27" name="图片 2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true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6667" cy="1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”按钮提交。</w:t>
      </w:r>
    </w:p>
    <w:p>
      <w:pPr>
        <w:rPr>
          <w:rFonts w:hint="eastAsia" w:eastAsia="宋体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593080" cy="3027045"/>
            <wp:effectExtent l="0" t="0" r="0" b="5715"/>
            <wp:docPr id="7" name="图片 1" descr="IMG_25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IMG_256"/>
                    <pic:cNvPicPr>
                      <a:picLocks noChangeAspect="true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30270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图2</w:t>
      </w:r>
      <w:r>
        <w:t>.</w:t>
      </w:r>
      <w:r>
        <w:rPr>
          <w:rFonts w:hint="eastAsia"/>
        </w:rPr>
        <w:t>6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Calibri Light">
    <w:altName w:val="DejaVu Sans"/>
    <w:panose1 w:val="020F0302020204030204"/>
    <w:charset w:val="00"/>
    <w:family w:val="swiss"/>
    <w:pitch w:val="default"/>
    <w:sig w:usb0="00000000" w:usb1="00000000" w:usb2="00000009" w:usb3="00000000" w:csb0="200001FF" w:csb1="00000000"/>
  </w:font>
  <w:font w:name="华文中宋">
    <w:altName w:val="汉仪中宋简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汉仪中宋简">
    <w:panose1 w:val="02010600000101010101"/>
    <w:charset w:val="86"/>
    <w:family w:val="auto"/>
    <w:pitch w:val="default"/>
    <w:sig w:usb0="00000001" w:usb1="080E0800" w:usb2="00000002" w:usb3="00000000" w:csb0="0004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Noto Sans CJK JP Bold">
    <w:panose1 w:val="020B0800000000000000"/>
    <w:charset w:val="86"/>
    <w:family w:val="auto"/>
    <w:pitch w:val="default"/>
    <w:sig w:usb0="30000003" w:usb1="2BDF3C10" w:usb2="00000016" w:usb3="00000000" w:csb0="602E0107" w:csb1="0000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A6A3CF7"/>
    <w:multiLevelType w:val="multilevel"/>
    <w:tmpl w:val="3A6A3CF7"/>
    <w:lvl w:ilvl="0" w:tentative="0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73235B46"/>
    <w:multiLevelType w:val="multilevel"/>
    <w:tmpl w:val="73235B46"/>
    <w:lvl w:ilvl="0" w:tentative="0">
      <w:start w:val="1"/>
      <w:numFmt w:val="chineseCountingThousand"/>
      <w:lvlText w:val="%1、"/>
      <w:lvlJc w:val="left"/>
      <w:pPr>
        <w:ind w:left="420" w:hanging="42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false"/>
  <w:bordersDoNotSurroundFooter w:val="false"/>
  <w:documentProtection w:enforcement="0"/>
  <w:defaultTabStop w:val="420"/>
  <w:drawingGridVerticalSpacing w:val="156"/>
  <w:displayHorizontalDrawingGridEvery w:val="1"/>
  <w:displayVerticalDrawingGridEvery w:val="1"/>
  <w:noPunctuationKerning w:val="true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I2MmI4N2Y3OGEwNThmZmUyNmU1ZGY0ZDNmMTEzYWYifQ=="/>
  </w:docVars>
  <w:rsids>
    <w:rsidRoot w:val="006231DF"/>
    <w:rsid w:val="006231DF"/>
    <w:rsid w:val="00F7302D"/>
    <w:rsid w:val="04795EB3"/>
    <w:rsid w:val="09CB552E"/>
    <w:rsid w:val="0EF43FEA"/>
    <w:rsid w:val="13625C0F"/>
    <w:rsid w:val="15337781"/>
    <w:rsid w:val="155F311E"/>
    <w:rsid w:val="230A6C01"/>
    <w:rsid w:val="27350536"/>
    <w:rsid w:val="29CE7768"/>
    <w:rsid w:val="33BB2F15"/>
    <w:rsid w:val="3D636699"/>
    <w:rsid w:val="3E030AAC"/>
    <w:rsid w:val="40916664"/>
    <w:rsid w:val="423E7203"/>
    <w:rsid w:val="45A24E7B"/>
    <w:rsid w:val="483F16FB"/>
    <w:rsid w:val="575D59B0"/>
    <w:rsid w:val="59A0055C"/>
    <w:rsid w:val="5B7E674C"/>
    <w:rsid w:val="5CB9DDA2"/>
    <w:rsid w:val="5CD177B3"/>
    <w:rsid w:val="5DE912A1"/>
    <w:rsid w:val="67FA79F2"/>
    <w:rsid w:val="69EB3991"/>
    <w:rsid w:val="6C543562"/>
    <w:rsid w:val="6E1563FA"/>
    <w:rsid w:val="6F690936"/>
    <w:rsid w:val="75255E56"/>
    <w:rsid w:val="77056454"/>
    <w:rsid w:val="786424BE"/>
    <w:rsid w:val="B8E86219"/>
    <w:rsid w:val="D7FDD75D"/>
    <w:rsid w:val="DFAC20D3"/>
    <w:rsid w:val="FFB11FF9"/>
    <w:rsid w:val="FFBF50AC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iPriority="39" w:semiHidden="0" w:name="toc 1"/>
    <w:lsdException w:qFormat="1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1"/>
    <w:qFormat/>
    <w:uiPriority w:val="0"/>
    <w:rPr>
      <w:sz w:val="18"/>
      <w:szCs w:val="18"/>
    </w:rPr>
  </w:style>
  <w:style w:type="paragraph" w:styleId="4">
    <w:name w:val="toc 1"/>
    <w:basedOn w:val="1"/>
    <w:next w:val="1"/>
    <w:unhideWhenUsed/>
    <w:qFormat/>
    <w:uiPriority w:val="39"/>
    <w:pPr>
      <w:widowControl/>
      <w:spacing w:after="100" w:line="259" w:lineRule="auto"/>
      <w:jc w:val="left"/>
    </w:pPr>
    <w:rPr>
      <w:rFonts w:asciiTheme="minorHAnsi" w:hAnsiTheme="minorHAnsi" w:eastAsiaTheme="minorEastAsia"/>
      <w:kern w:val="0"/>
      <w:sz w:val="22"/>
      <w:szCs w:val="22"/>
    </w:rPr>
  </w:style>
  <w:style w:type="paragraph" w:styleId="5">
    <w:name w:val="toc 2"/>
    <w:basedOn w:val="1"/>
    <w:next w:val="1"/>
    <w:unhideWhenUsed/>
    <w:qFormat/>
    <w:uiPriority w:val="39"/>
    <w:pPr>
      <w:ind w:left="420" w:leftChars="200"/>
    </w:pPr>
  </w:style>
  <w:style w:type="character" w:styleId="8">
    <w:name w:val="Hyperlink"/>
    <w:basedOn w:val="7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customStyle="1" w:styleId="9">
    <w:name w:val="TOC 标题1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6" w:themeColor="accent1" w:themeShade="BF"/>
      <w:kern w:val="0"/>
      <w:sz w:val="32"/>
      <w:szCs w:val="32"/>
    </w:rPr>
  </w:style>
  <w:style w:type="paragraph" w:styleId="10">
    <w:name w:val="List Paragraph"/>
    <w:basedOn w:val="1"/>
    <w:qFormat/>
    <w:uiPriority w:val="34"/>
    <w:pPr>
      <w:ind w:firstLine="420" w:firstLineChars="200"/>
    </w:pPr>
  </w:style>
  <w:style w:type="character" w:customStyle="1" w:styleId="11">
    <w:name w:val="批注框文本 Char"/>
    <w:basedOn w:val="7"/>
    <w:link w:val="3"/>
    <w:qFormat/>
    <w:uiPriority w:val="0"/>
    <w:rPr>
      <w:rFonts w:ascii="Calibri" w:hAnsi="Calibri" w:eastAsia="宋体" w:cs="Times New Roman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6" Type="http://schemas.openxmlformats.org/officeDocument/2006/relationships/fontTable" Target="fontTable.xml"/><Relationship Id="rId25" Type="http://schemas.openxmlformats.org/officeDocument/2006/relationships/numbering" Target="numbering.xml"/><Relationship Id="rId24" Type="http://schemas.openxmlformats.org/officeDocument/2006/relationships/customXml" Target="../customXml/item1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jpe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6</Pages>
  <Words>516</Words>
  <Characters>565</Characters>
  <Lines>17</Lines>
  <Paragraphs>4</Paragraphs>
  <TotalTime>3</TotalTime>
  <ScaleCrop>false</ScaleCrop>
  <LinksUpToDate>false</LinksUpToDate>
  <CharactersWithSpaces>583</CharactersWithSpaces>
  <Application>WPS Office_11.8.2.10125_F1E327BC-269C-435d-A152-05C5408002CA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2020-10-13T16:19:00Z</dcterms:created>
  <dc:creator>86151</dc:creator>
  <cp:lastModifiedBy>administrator</cp:lastModifiedBy>
  <dcterms:modified xsi:type="dcterms:W3CDTF">2025-10-10T08:18:40Z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2052-11.8.2.10125</vt:lpwstr>
  </property>
  <property fmtid="{D5CDD505-2E9C-101B-9397-08002B2CF9AE}" pid="3" name="ICV">
    <vt:lpwstr>3279574474E84CAEA3E3FE12EAA3C629</vt:lpwstr>
  </property>
</Properties>
</file>