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62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spacing w:before="42"/>
        <w:ind w:left="551"/>
      </w:pPr>
      <w:r>
        <w:rPr>
          <w:spacing w:val="-27"/>
        </w:rPr>
        <w:t xml:space="preserve">附件 </w:t>
      </w:r>
      <w:r>
        <w:rPr>
          <w:spacing w:val="-10"/>
        </w:rPr>
        <w:t>1</w:t>
      </w:r>
    </w:p>
    <w:p>
      <w:pPr>
        <w:spacing w:before="11" w:line="240" w:lineRule="auto"/>
        <w:rPr>
          <w:sz w:val="38"/>
        </w:rPr>
      </w:pPr>
      <w:r>
        <w:br w:type="column"/>
      </w:r>
    </w:p>
    <w:p>
      <w:pPr>
        <w:pStyle w:val="2"/>
        <w:spacing w:before="1"/>
        <w:ind w:left="551"/>
      </w:pPr>
      <w:r>
        <w:rPr>
          <w:spacing w:val="-3"/>
        </w:rPr>
        <w:t>混凝土生产企业检查表</w:t>
      </w:r>
    </w:p>
    <w:p>
      <w:pPr>
        <w:spacing w:after="0"/>
        <w:sectPr>
          <w:footerReference r:id="rId5" w:type="default"/>
          <w:footerReference r:id="rId6" w:type="even"/>
          <w:pgSz w:w="11900" w:h="16840"/>
          <w:pgMar w:top="1780" w:right="920" w:bottom="1670" w:left="980" w:header="0" w:footer="1087" w:gutter="0"/>
          <w:cols w:equalWidth="0" w:num="2">
            <w:col w:w="1477" w:space="527"/>
            <w:col w:w="7996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7"/>
        </w:rPr>
      </w:pPr>
    </w:p>
    <w:p>
      <w:pPr>
        <w:spacing w:before="67"/>
        <w:ind w:left="551" w:right="0" w:firstLine="0"/>
        <w:jc w:val="left"/>
        <w:rPr>
          <w:sz w:val="24"/>
        </w:rPr>
      </w:pPr>
      <w:r>
        <w:rPr>
          <w:sz w:val="24"/>
        </w:rPr>
        <w:t>预拌混凝土生产企业所在市（县</w:t>
      </w:r>
      <w:r>
        <w:rPr>
          <w:spacing w:val="-125"/>
          <w:sz w:val="24"/>
        </w:rPr>
        <w:t>）</w:t>
      </w:r>
      <w:r>
        <w:rPr>
          <w:spacing w:val="-5"/>
          <w:sz w:val="24"/>
        </w:rPr>
        <w:t>：</w:t>
      </w:r>
    </w:p>
    <w:p>
      <w:pPr>
        <w:pStyle w:val="3"/>
        <w:spacing w:before="4"/>
        <w:rPr>
          <w:sz w:val="12"/>
        </w:rPr>
      </w:pPr>
    </w:p>
    <w:tbl>
      <w:tblPr>
        <w:tblStyle w:val="4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3"/>
        <w:gridCol w:w="2664"/>
        <w:gridCol w:w="1990"/>
        <w:gridCol w:w="946"/>
        <w:gridCol w:w="947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647" w:type="dxa"/>
            <w:gridSpan w:val="7"/>
            <w:noWrap w:val="0"/>
            <w:vAlign w:val="top"/>
          </w:tcPr>
          <w:p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预拌混凝土生产企业：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7" w:type="dxa"/>
            <w:gridSpan w:val="7"/>
            <w:noWrap w:val="0"/>
            <w:vAlign w:val="top"/>
          </w:tcPr>
          <w:p>
            <w:pPr>
              <w:pStyle w:val="8"/>
              <w:spacing w:before="174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预拌混凝土搅拌站点名称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647" w:type="dxa"/>
            <w:gridSpan w:val="7"/>
            <w:noWrap w:val="0"/>
            <w:vAlign w:val="top"/>
          </w:tcPr>
          <w:p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预拌混凝土搅拌站点地址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47" w:type="dxa"/>
            <w:gridSpan w:val="7"/>
            <w:noWrap w:val="0"/>
            <w:vAlign w:val="top"/>
          </w:tcPr>
          <w:p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预拌混凝土搅拌站点生产线条数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72" w:type="dxa"/>
            <w:gridSpan w:val="3"/>
            <w:noWrap w:val="0"/>
            <w:vAlign w:val="top"/>
          </w:tcPr>
          <w:p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pacing w:val="4"/>
                <w:w w:val="95"/>
                <w:sz w:val="21"/>
              </w:rPr>
              <w:t>年生产能力（</w:t>
            </w:r>
            <w:r>
              <w:rPr>
                <w:spacing w:val="2"/>
                <w:w w:val="95"/>
                <w:sz w:val="21"/>
              </w:rPr>
              <w:t xml:space="preserve">万 </w:t>
            </w:r>
            <w:r>
              <w:rPr>
                <w:rFonts w:ascii="Times New Roman" w:eastAsia="Times New Roman"/>
                <w:spacing w:val="21"/>
                <w:w w:val="93"/>
                <w:sz w:val="21"/>
              </w:rPr>
              <w:t>m</w:t>
            </w:r>
            <w:r>
              <w:rPr>
                <w:rFonts w:ascii="Times New Roman" w:eastAsia="Times New Roman"/>
                <w:spacing w:val="22"/>
                <w:w w:val="99"/>
                <w:position w:val="7"/>
                <w:sz w:val="13"/>
              </w:rPr>
              <w:t>3</w:t>
            </w:r>
            <w:r>
              <w:rPr>
                <w:spacing w:val="-83"/>
                <w:w w:val="93"/>
                <w:sz w:val="21"/>
              </w:rPr>
              <w:t>）</w:t>
            </w:r>
            <w:r>
              <w:rPr>
                <w:spacing w:val="21"/>
                <w:w w:val="93"/>
                <w:sz w:val="21"/>
              </w:rPr>
              <w:t>：</w:t>
            </w:r>
          </w:p>
        </w:tc>
        <w:tc>
          <w:tcPr>
            <w:tcW w:w="4875" w:type="dxa"/>
            <w:gridSpan w:val="4"/>
            <w:noWrap w:val="0"/>
            <w:vAlign w:val="top"/>
          </w:tcPr>
          <w:p>
            <w:pPr>
              <w:pStyle w:val="8"/>
              <w:spacing w:before="173"/>
              <w:ind w:left="106"/>
              <w:rPr>
                <w:sz w:val="21"/>
              </w:rPr>
            </w:pPr>
            <w:r>
              <w:rPr>
                <w:spacing w:val="6"/>
                <w:w w:val="95"/>
                <w:sz w:val="21"/>
              </w:rPr>
              <w:t>上一年度实际产量（</w:t>
            </w:r>
            <w:r>
              <w:rPr>
                <w:spacing w:val="4"/>
                <w:w w:val="95"/>
                <w:sz w:val="21"/>
              </w:rPr>
              <w:t xml:space="preserve">万 </w:t>
            </w:r>
            <w:r>
              <w:rPr>
                <w:rFonts w:ascii="Times New Roman" w:eastAsia="Times New Roman"/>
                <w:spacing w:val="24"/>
                <w:w w:val="93"/>
                <w:sz w:val="21"/>
              </w:rPr>
              <w:t>m</w:t>
            </w:r>
            <w:r>
              <w:rPr>
                <w:rFonts w:ascii="Times New Roman" w:eastAsia="Times New Roman"/>
                <w:spacing w:val="22"/>
                <w:w w:val="99"/>
                <w:position w:val="7"/>
                <w:sz w:val="13"/>
              </w:rPr>
              <w:t>3</w:t>
            </w:r>
            <w:r>
              <w:rPr>
                <w:spacing w:val="-83"/>
                <w:w w:val="93"/>
                <w:sz w:val="21"/>
              </w:rPr>
              <w:t>）</w:t>
            </w:r>
            <w:r>
              <w:rPr>
                <w:spacing w:val="21"/>
                <w:w w:val="93"/>
                <w:sz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ind w:left="368"/>
              <w:rPr>
                <w:sz w:val="21"/>
              </w:rPr>
            </w:pPr>
            <w:r>
              <w:rPr>
                <w:spacing w:val="-3"/>
                <w:sz w:val="21"/>
              </w:rPr>
              <w:t>检查项目</w:t>
            </w:r>
          </w:p>
        </w:tc>
        <w:tc>
          <w:tcPr>
            <w:tcW w:w="5177" w:type="dxa"/>
            <w:gridSpan w:val="3"/>
            <w:vMerge w:val="restart"/>
            <w:noWrap w:val="0"/>
            <w:vAlign w:val="top"/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ind w:left="2154" w:right="214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检查内容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8"/>
              <w:spacing w:before="68"/>
              <w:ind w:left="523"/>
              <w:rPr>
                <w:sz w:val="21"/>
              </w:rPr>
            </w:pPr>
            <w:r>
              <w:rPr>
                <w:spacing w:val="-3"/>
                <w:sz w:val="21"/>
              </w:rPr>
              <w:t>检查结果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ind w:left="284"/>
              <w:rPr>
                <w:sz w:val="21"/>
              </w:rPr>
            </w:pPr>
            <w:r>
              <w:rPr>
                <w:spacing w:val="-6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7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spacing w:before="67"/>
              <w:ind w:left="261"/>
              <w:rPr>
                <w:sz w:val="21"/>
              </w:rPr>
            </w:pPr>
            <w:r>
              <w:rPr>
                <w:spacing w:val="-6"/>
                <w:sz w:val="21"/>
              </w:rPr>
              <w:t>符合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spacing w:before="67"/>
              <w:ind w:left="155"/>
              <w:rPr>
                <w:sz w:val="21"/>
              </w:rPr>
            </w:pPr>
            <w:r>
              <w:rPr>
                <w:spacing w:val="-4"/>
                <w:sz w:val="21"/>
              </w:rPr>
              <w:t>不符合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27"/>
              </w:rPr>
            </w:pPr>
          </w:p>
          <w:p>
            <w:pPr>
              <w:pStyle w:val="8"/>
              <w:ind w:left="160"/>
              <w:rPr>
                <w:sz w:val="21"/>
              </w:rPr>
            </w:pPr>
            <w:r>
              <w:rPr>
                <w:spacing w:val="-2"/>
                <w:sz w:val="21"/>
              </w:rPr>
              <w:t>(一)资质管理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5"/>
              </w:rPr>
            </w:pPr>
          </w:p>
          <w:p>
            <w:pPr>
              <w:pStyle w:val="8"/>
              <w:spacing w:before="1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1"/>
              <w:rPr>
                <w:sz w:val="15"/>
              </w:rPr>
            </w:pPr>
          </w:p>
          <w:p>
            <w:pPr>
              <w:pStyle w:val="8"/>
              <w:spacing w:before="1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预拌混凝土生产企业具有资质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58" w:line="340" w:lineRule="atLeast"/>
              <w:ind w:left="106" w:right="80"/>
              <w:rPr>
                <w:sz w:val="21"/>
              </w:rPr>
            </w:pPr>
            <w:r>
              <w:rPr>
                <w:spacing w:val="-2"/>
                <w:sz w:val="21"/>
              </w:rPr>
              <w:t>预拌混凝土生产企业、分站点的设立是否满足资质管理规定要求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8"/>
              <w:ind w:left="151" w:right="1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(二)原材料管</w:t>
            </w:r>
          </w:p>
          <w:p>
            <w:pPr>
              <w:pStyle w:val="8"/>
              <w:spacing w:before="91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理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6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建立混凝土原材料的采购、使用管理制度，采购</w:t>
            </w:r>
          </w:p>
          <w:p>
            <w:pPr>
              <w:pStyle w:val="8"/>
              <w:spacing w:before="72" w:line="234" w:lineRule="exact"/>
              <w:ind w:left="106"/>
              <w:rPr>
                <w:sz w:val="21"/>
              </w:rPr>
            </w:pPr>
            <w:r>
              <w:rPr>
                <w:sz w:val="21"/>
              </w:rPr>
              <w:t>合同（协议）</w:t>
            </w:r>
            <w:r>
              <w:rPr>
                <w:spacing w:val="-1"/>
                <w:sz w:val="21"/>
              </w:rPr>
              <w:t>以书面形式签订并存档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8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153" w:line="302" w:lineRule="auto"/>
              <w:ind w:left="106" w:right="7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建立混凝土原材料使用及检测试验台帐，有进场验收记录，对进场原材料依据相关技术标准要求质量检验，质量可追溯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5"/>
              <w:rPr>
                <w:sz w:val="21"/>
              </w:rPr>
            </w:pPr>
          </w:p>
          <w:p>
            <w:pPr>
              <w:pStyle w:val="8"/>
              <w:spacing w:line="321" w:lineRule="auto"/>
              <w:ind w:left="685" w:right="147" w:hanging="528"/>
              <w:rPr>
                <w:sz w:val="21"/>
              </w:rPr>
            </w:pPr>
            <w:r>
              <w:rPr>
                <w:spacing w:val="-2"/>
                <w:sz w:val="21"/>
              </w:rPr>
              <w:t>（三）试验管</w:t>
            </w:r>
            <w:r>
              <w:rPr>
                <w:spacing w:val="-10"/>
                <w:sz w:val="21"/>
              </w:rPr>
              <w:t>理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72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172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建立技术文件管理制度，技术标准有效健全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159" w:line="304" w:lineRule="auto"/>
              <w:ind w:left="106" w:right="79"/>
              <w:rPr>
                <w:sz w:val="21"/>
              </w:rPr>
            </w:pPr>
            <w:r>
              <w:rPr>
                <w:spacing w:val="-2"/>
                <w:sz w:val="21"/>
              </w:rPr>
              <w:t>试验室的环境、面积和仪器设备配备应当与生产能力相匹配，仪器设备应定期进行校准或检定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4"/>
              <w:rPr>
                <w:sz w:val="22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45" w:line="340" w:lineRule="atLeast"/>
              <w:ind w:left="106" w:right="82"/>
              <w:rPr>
                <w:sz w:val="21"/>
              </w:rPr>
            </w:pPr>
            <w:r>
              <w:rPr>
                <w:spacing w:val="11"/>
                <w:sz w:val="21"/>
              </w:rPr>
              <w:t>试验工作场所的温湿度等环境条件满足标准要</w:t>
            </w:r>
            <w:r>
              <w:rPr>
                <w:spacing w:val="-2"/>
                <w:sz w:val="21"/>
              </w:rPr>
              <w:t>求，严格按相应的标准和方法开展各项试验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99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99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原始记录、试验报告、试件等有唯一性标识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67" w:line="340" w:lineRule="atLeast"/>
              <w:ind w:left="106" w:right="80"/>
              <w:rPr>
                <w:sz w:val="21"/>
              </w:rPr>
            </w:pPr>
            <w:r>
              <w:rPr>
                <w:spacing w:val="-2"/>
                <w:sz w:val="21"/>
              </w:rPr>
              <w:t>定期对混凝土强度进行数理统计分析，对试验人员进行培训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4654" w:type="dxa"/>
            <w:gridSpan w:val="2"/>
            <w:noWrap w:val="0"/>
            <w:vAlign w:val="top"/>
          </w:tcPr>
          <w:p>
            <w:pPr>
              <w:pStyle w:val="8"/>
              <w:spacing w:before="61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混凝土强度异常或达不到规定要求时，有相应处</w:t>
            </w:r>
          </w:p>
          <w:p>
            <w:pPr>
              <w:pStyle w:val="8"/>
              <w:spacing w:before="72" w:line="232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理措施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1740" w:right="920" w:bottom="280" w:left="980" w:header="0" w:footer="1087" w:gutter="0"/>
          <w:cols w:space="720" w:num="1"/>
        </w:sectPr>
      </w:pPr>
    </w:p>
    <w:tbl>
      <w:tblPr>
        <w:tblStyle w:val="4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3"/>
        <w:gridCol w:w="4654"/>
        <w:gridCol w:w="946"/>
        <w:gridCol w:w="947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spacing w:before="6"/>
              <w:rPr>
                <w:sz w:val="29"/>
              </w:rPr>
            </w:pPr>
          </w:p>
          <w:p>
            <w:pPr>
              <w:pStyle w:val="8"/>
              <w:spacing w:before="1" w:line="321" w:lineRule="auto"/>
              <w:ind w:left="580" w:right="147" w:hanging="423"/>
              <w:rPr>
                <w:sz w:val="21"/>
              </w:rPr>
            </w:pPr>
            <w:r>
              <w:rPr>
                <w:spacing w:val="-2"/>
                <w:sz w:val="21"/>
              </w:rPr>
              <w:t>（四）配合比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2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line="338" w:lineRule="exact"/>
              <w:ind w:left="106" w:right="80"/>
              <w:rPr>
                <w:sz w:val="21"/>
              </w:rPr>
            </w:pPr>
            <w:r>
              <w:rPr>
                <w:spacing w:val="-2"/>
                <w:sz w:val="21"/>
              </w:rPr>
              <w:t>混凝土配合比设计配制强度及性能、矿物掺合料的掺量满足相关标准要求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配合比设计及调整应经技术负责人书面批准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585" w:type="dxa"/>
            <w:vMerge w:val="restart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8"/>
              <w:ind w:left="160"/>
              <w:rPr>
                <w:sz w:val="21"/>
              </w:rPr>
            </w:pPr>
            <w:r>
              <w:rPr>
                <w:spacing w:val="-2"/>
                <w:sz w:val="21"/>
              </w:rPr>
              <w:t>(五)生产管理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5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76" w:line="302" w:lineRule="auto"/>
              <w:ind w:left="106" w:right="80"/>
              <w:rPr>
                <w:sz w:val="21"/>
              </w:rPr>
            </w:pPr>
            <w:r>
              <w:rPr>
                <w:spacing w:val="-2"/>
                <w:sz w:val="21"/>
              </w:rPr>
              <w:t>建立生产设备管理制度和设备档案，定期对生产</w:t>
            </w:r>
            <w:r>
              <w:rPr>
                <w:spacing w:val="-1"/>
                <w:sz w:val="21"/>
              </w:rPr>
              <w:t>设备进行检查保养，填写主要设备使用和维修保</w:t>
            </w:r>
          </w:p>
          <w:p>
            <w:pPr>
              <w:pStyle w:val="8"/>
              <w:spacing w:before="1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养记录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line="338" w:lineRule="exact"/>
              <w:ind w:left="106" w:right="80"/>
              <w:rPr>
                <w:sz w:val="21"/>
              </w:rPr>
            </w:pPr>
            <w:r>
              <w:rPr>
                <w:spacing w:val="-2"/>
                <w:sz w:val="21"/>
              </w:rPr>
              <w:t>混凝土搅拌系统应符合相关标准要求，定期对搅拌系统计量设备进行校准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4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生产、试验用计量设备、试模应进行自校，自校</w:t>
            </w:r>
          </w:p>
          <w:p>
            <w:pPr>
              <w:pStyle w:val="8"/>
              <w:spacing w:before="72" w:line="234" w:lineRule="exact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频次应符合相关标准要求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line="338" w:lineRule="exact"/>
              <w:ind w:left="106" w:right="82"/>
              <w:rPr>
                <w:sz w:val="21"/>
              </w:rPr>
            </w:pPr>
            <w:r>
              <w:rPr>
                <w:spacing w:val="11"/>
                <w:sz w:val="21"/>
              </w:rPr>
              <w:t>实际生产的混凝土配合比与向使用单位出具的</w:t>
            </w:r>
            <w:r>
              <w:rPr>
                <w:spacing w:val="-2"/>
                <w:sz w:val="21"/>
              </w:rPr>
              <w:t>混凝土配合比一致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4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生产中原材料计量允许偏差符合相关标准要求，</w:t>
            </w:r>
          </w:p>
          <w:p>
            <w:pPr>
              <w:pStyle w:val="8"/>
              <w:spacing w:before="72" w:line="234" w:lineRule="exact"/>
              <w:ind w:left="106"/>
              <w:rPr>
                <w:sz w:val="21"/>
              </w:rPr>
            </w:pPr>
            <w:r>
              <w:rPr>
                <w:sz w:val="21"/>
              </w:rPr>
              <w:t>并应</w:t>
            </w:r>
            <w:r>
              <w:rPr>
                <w:spacing w:val="30"/>
                <w:sz w:val="21"/>
              </w:rPr>
              <w:t>每</w:t>
            </w:r>
            <w:r>
              <w:rPr>
                <w:spacing w:val="32"/>
                <w:position w:val="-1"/>
                <w:sz w:val="21"/>
              </w:rPr>
              <w:drawing>
                <wp:inline distT="0" distB="0" distL="114300" distR="114300">
                  <wp:extent cx="92075" cy="127000"/>
                  <wp:effectExtent l="0" t="0" r="3175" b="6350"/>
                  <wp:docPr id="1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</w:rPr>
              <w:t>班检查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7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141" w:line="302" w:lineRule="auto"/>
              <w:ind w:left="106" w:right="73"/>
              <w:jc w:val="both"/>
              <w:rPr>
                <w:sz w:val="21"/>
              </w:rPr>
            </w:pPr>
            <w:r>
              <w:rPr>
                <w:spacing w:val="20"/>
                <w:sz w:val="21"/>
              </w:rPr>
              <w:t>出厂检验的取样频率应符合《预拌混凝土》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(GB/T14902-2012)的要求，混凝土出厂检验包含坍落度、强度等标准要求及合同约定项目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61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留置混凝土试件,并对其进行养护和检验检测</w:t>
            </w:r>
          </w:p>
          <w:p>
            <w:pPr>
              <w:pStyle w:val="8"/>
              <w:spacing w:before="72" w:line="234" w:lineRule="exact"/>
              <w:ind w:left="106"/>
              <w:rPr>
                <w:sz w:val="21"/>
              </w:rPr>
            </w:pPr>
            <w:r>
              <w:rPr>
                <w:sz w:val="21"/>
              </w:rPr>
              <w:t>建立留置试件和试</w:t>
            </w:r>
            <w:r>
              <w:rPr>
                <w:spacing w:val="34"/>
                <w:sz w:val="21"/>
              </w:rPr>
              <w:t>验</w:t>
            </w:r>
            <w:r>
              <w:rPr>
                <w:spacing w:val="34"/>
                <w:position w:val="-1"/>
                <w:sz w:val="21"/>
              </w:rPr>
              <w:drawing>
                <wp:inline distT="0" distB="0" distL="114300" distR="114300">
                  <wp:extent cx="92075" cy="127000"/>
                  <wp:effectExtent l="0" t="0" r="3175" b="6350"/>
                  <wp:docPr id="2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sz w:val="21"/>
              </w:rPr>
              <w:t>帐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6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出厂检验试块、试件等应按年度连续编号并建立</w:t>
            </w:r>
          </w:p>
          <w:p>
            <w:pPr>
              <w:pStyle w:val="8"/>
              <w:spacing w:before="72" w:line="235" w:lineRule="exact"/>
              <w:ind w:left="136"/>
              <w:rPr>
                <w:sz w:val="21"/>
              </w:rPr>
            </w:pPr>
            <w:r>
              <w:rPr>
                <w:position w:val="-2"/>
              </w:rPr>
              <w:drawing>
                <wp:inline distT="0" distB="0" distL="114300" distR="114300">
                  <wp:extent cx="92075" cy="127000"/>
                  <wp:effectExtent l="0" t="0" r="3175" b="6350"/>
                  <wp:docPr id="3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4"/>
                <w:sz w:val="20"/>
              </w:rPr>
              <w:t xml:space="preserve"> </w:t>
            </w:r>
            <w:r>
              <w:rPr>
                <w:sz w:val="21"/>
              </w:rPr>
              <w:t>账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before="1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运送混凝土时应随车签发预拌混凝土运输单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60"/>
              <w:ind w:left="106"/>
              <w:rPr>
                <w:sz w:val="21"/>
              </w:rPr>
            </w:pPr>
            <w:r>
              <w:rPr>
                <w:spacing w:val="10"/>
                <w:sz w:val="21"/>
              </w:rPr>
              <w:t>出具预拌混凝土开盘鉴定资料和预拌混凝土合</w:t>
            </w:r>
          </w:p>
          <w:p>
            <w:pPr>
              <w:pStyle w:val="8"/>
              <w:spacing w:before="72" w:line="235" w:lineRule="exact"/>
              <w:ind w:left="106"/>
              <w:rPr>
                <w:sz w:val="21"/>
              </w:rPr>
            </w:pPr>
            <w:r>
              <w:rPr>
                <w:spacing w:val="-6"/>
                <w:sz w:val="21"/>
              </w:rPr>
              <w:t>格证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before="1"/>
              <w:ind w:left="141" w:right="1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4654" w:type="dxa"/>
            <w:noWrap w:val="0"/>
            <w:vAlign w:val="top"/>
          </w:tcPr>
          <w:p>
            <w:pPr>
              <w:pStyle w:val="8"/>
              <w:spacing w:before="61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大批量、连续生产的同一配合比混凝土，应提供</w:t>
            </w:r>
          </w:p>
          <w:p>
            <w:pPr>
              <w:pStyle w:val="8"/>
              <w:spacing w:before="72" w:line="234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基本性能试验报告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85" w:type="dxa"/>
            <w:noWrap w:val="0"/>
            <w:vAlign w:val="top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368"/>
              <w:rPr>
                <w:sz w:val="21"/>
              </w:rPr>
            </w:pPr>
            <w:r>
              <w:rPr>
                <w:spacing w:val="-3"/>
                <w:sz w:val="21"/>
              </w:rPr>
              <w:t>结果统计</w:t>
            </w:r>
          </w:p>
        </w:tc>
        <w:tc>
          <w:tcPr>
            <w:tcW w:w="8062" w:type="dxa"/>
            <w:gridSpan w:val="5"/>
            <w:noWrap w:val="0"/>
            <w:vAlign w:val="top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tabs>
                <w:tab w:val="left" w:pos="1206"/>
                <w:tab w:val="left" w:pos="3217"/>
                <w:tab w:val="left" w:pos="4594"/>
              </w:tabs>
              <w:ind w:left="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不符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项</w:t>
            </w:r>
          </w:p>
        </w:tc>
      </w:tr>
    </w:tbl>
    <w:p>
      <w:pPr>
        <w:pStyle w:val="3"/>
        <w:spacing w:before="12"/>
        <w:rPr>
          <w:sz w:val="9"/>
        </w:rPr>
      </w:pPr>
    </w:p>
    <w:p>
      <w:pPr>
        <w:tabs>
          <w:tab w:val="left" w:pos="5665"/>
          <w:tab w:val="left" w:pos="7395"/>
          <w:tab w:val="left" w:pos="8294"/>
          <w:tab w:val="left" w:pos="9209"/>
        </w:tabs>
        <w:spacing w:before="66"/>
        <w:ind w:left="551" w:right="0" w:firstLine="0"/>
        <w:jc w:val="left"/>
        <w:rPr>
          <w:sz w:val="24"/>
        </w:rPr>
      </w:pPr>
      <w:r>
        <w:rPr>
          <w:sz w:val="24"/>
        </w:rPr>
        <w:t>检查人签字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检查日期</w:t>
      </w:r>
      <w:r>
        <w:rPr>
          <w:spacing w:val="-92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 xml:space="preserve">年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 xml:space="preserve">月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660" w:right="920" w:bottom="1280" w:left="980" w:header="0" w:footer="108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sectPr>
      <w:footerReference r:id="rId7" w:type="default"/>
      <w:footerReference r:id="rId8" w:type="even"/>
      <w:pgSz w:w="11910" w:h="16840"/>
      <w:pgMar w:top="1920" w:right="1680" w:bottom="28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9861550</wp:posOffset>
              </wp:positionV>
              <wp:extent cx="469900" cy="2038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85.55pt;margin-top:776.5pt;height:16.05pt;width:3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oQm/42AAAAA4BAAAPAAAAAAAA&#10;AAEAIAAAADgAAABkcnMvZG93bnJldi54bWxQSwECFAAUAAAACACHTuJAiY+dtcMBAACCAwAADgAA&#10;AAAAAAABACAAAAA9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9861550</wp:posOffset>
              </wp:positionV>
              <wp:extent cx="469900" cy="2038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75.55pt;margin-top:776.5pt;height:16.05pt;width:37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HluTNXXAAAADQEAAA8AAAAAAAAA&#10;AQAgAAAAOAAAAGRycy9kb3ducmV2LnhtbFBLAQIUABQAAAAIAIdO4kDjFQ6swwEAAIIDAAAOAAAA&#10;AAAAAAEAIAAAADw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6729730</wp:posOffset>
              </wp:positionV>
              <wp:extent cx="560070" cy="20383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14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rtlCol="0" anchor="t" anchorCtr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72.65pt;margin-top:529.9pt;height:16.05pt;width:44.1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OU+OvTaAAAADQEAAA8AAAAA&#10;AAAAAQAgAAAAOAAAAGRycy9kb3ducmV2LnhtbFBLAQIUABQAAAAIAIdO4kA6Se4qwwEAAIQDAAAO&#10;AAAAAAAAAAEAIAAAAD8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14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hyphenationZone w:val="360"/>
  <w:evenAndOddHeaders w:val="true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9F254E"/>
    <w:rsid w:val="DBF6805D"/>
    <w:rsid w:val="F7D6B7D5"/>
    <w:rsid w:val="FFBE1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-11"/>
      <w:outlineLvl w:val="1"/>
    </w:pPr>
    <w:rPr>
      <w:rFonts w:ascii="SimSun" w:hAnsi="SimSun" w:eastAsia="SimSun" w:cs="SimSun"/>
      <w:sz w:val="44"/>
      <w:szCs w:val="4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SimSun" w:hAnsi="SimSun" w:eastAsia="SimSun" w:cs="SimSun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6"/>
      <w:ind w:left="2479" w:hanging="318"/>
    </w:pPr>
    <w:rPr>
      <w:rFonts w:ascii="SimSun" w:hAnsi="SimSun" w:eastAsia="SimSun" w:cs="SimSun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5.33333333333333</TotalTime>
  <ScaleCrop>false</ScaleCrop>
  <LinksUpToDate>false</LinksUpToDate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2025-04-15T00:59:00Z</dcterms:created>
  <dc:creator>Nicky</dc:creator>
  <cp:lastModifiedBy>administrator</cp:lastModifiedBy>
  <dcterms:modified xsi:type="dcterms:W3CDTF">2025-04-22T10:29:40Z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2025-04-14T08:00:00Z</vt:filetime>
  </property>
  <property fmtid="{D5CDD505-2E9C-101B-9397-08002B2CF9AE}" pid="3" name="Creator">
    <vt:lpwstr>suwell-pdf2ofd</vt:lpwstr>
  </property>
  <property fmtid="{D5CDD505-2E9C-101B-9397-08002B2CF9AE}" pid="4" name="LastSaved">
    <vt:filetime>2025-04-14T08:00:00Z</vt:filetime>
  </property>
  <property fmtid="{D5CDD505-2E9C-101B-9397-08002B2CF9AE}" pid="5" name="OFD2PDFLib">
    <vt:lpwstr>ofd2pdflib/24.20.24.0913.1124</vt:lpwstr>
  </property>
  <property fmtid="{D5CDD505-2E9C-101B-9397-08002B2CF9AE}" pid="6" name="Producer">
    <vt:lpwstr>Suwell OFD convertor</vt:lpwstr>
  </property>
  <property fmtid="{D5CDD505-2E9C-101B-9397-08002B2CF9AE}" pid="7" name="KSOProductBuildVer">
    <vt:lpwstr>2052-11.8.2.10422</vt:lpwstr>
  </property>
</Properties>
</file>